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10124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10124">
        <w:rPr>
          <w:b/>
        </w:rPr>
        <w:t xml:space="preserve">ПРОТОКОЛ </w:t>
      </w:r>
      <w:r w:rsidRPr="00410124">
        <w:rPr>
          <w:b/>
          <w:color w:val="000000"/>
        </w:rPr>
        <w:t xml:space="preserve">№ </w:t>
      </w:r>
      <w:r w:rsidR="005D6D67">
        <w:rPr>
          <w:b/>
        </w:rPr>
        <w:t>164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заседания Комиссии по проведению закупок для нужд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АО «Югорская региональная электросетевая компания»</w:t>
      </w:r>
    </w:p>
    <w:p w:rsidR="00391158" w:rsidRPr="00503FD0" w:rsidRDefault="00391158" w:rsidP="00391158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391158" w:rsidRPr="00410124" w:rsidRDefault="005D6D6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</w:t>
      </w:r>
      <w:r w:rsidR="003A7A40" w:rsidRPr="00410124">
        <w:rPr>
          <w:b/>
          <w:i/>
        </w:rPr>
        <w:t xml:space="preserve"> декабря</w:t>
      </w:r>
      <w:r w:rsidR="00391158" w:rsidRPr="00410124">
        <w:rPr>
          <w:b/>
          <w:i/>
        </w:rPr>
        <w:t xml:space="preserve"> 2021 года</w:t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7935D3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140FE9" w:rsidRPr="00410124">
        <w:rPr>
          <w:b/>
          <w:i/>
        </w:rPr>
        <w:t xml:space="preserve">  </w:t>
      </w:r>
      <w:r w:rsidR="003A7A40" w:rsidRPr="00410124">
        <w:rPr>
          <w:b/>
          <w:i/>
        </w:rPr>
        <w:t xml:space="preserve">   </w:t>
      </w:r>
      <w:r w:rsidR="00391158" w:rsidRPr="00410124">
        <w:rPr>
          <w:b/>
          <w:i/>
        </w:rPr>
        <w:t>г. Ханты-Мансийск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10124">
        <w:rPr>
          <w:b/>
          <w:i/>
        </w:rPr>
        <w:t>Время начала: 14 часов 00 минут</w:t>
      </w:r>
    </w:p>
    <w:p w:rsidR="00391158" w:rsidRPr="00503FD0" w:rsidRDefault="00391158" w:rsidP="00391158">
      <w:pPr>
        <w:jc w:val="both"/>
        <w:rPr>
          <w:b/>
          <w:sz w:val="18"/>
          <w:szCs w:val="18"/>
        </w:rPr>
      </w:pP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Форма проведения заседания:</w:t>
      </w:r>
      <w:r w:rsidRPr="00410124">
        <w:t xml:space="preserve"> очное (совместное присутствие).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Место проведения голосования</w:t>
      </w:r>
      <w:r w:rsidRPr="00410124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 xml:space="preserve">Общее количество членов комиссии </w:t>
      </w:r>
      <w:r w:rsidRPr="00410124">
        <w:t xml:space="preserve">– </w:t>
      </w:r>
      <w:r w:rsidRPr="00410124">
        <w:rPr>
          <w:color w:val="000000"/>
        </w:rPr>
        <w:t>7 (семь).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На заседании Комиссии по проведению закупок для нужд АО «ЮРЭСК» присутствовали:</w:t>
      </w:r>
      <w:r w:rsidRPr="00410124">
        <w:t xml:space="preserve"> </w:t>
      </w:r>
    </w:p>
    <w:p w:rsidR="00391158" w:rsidRPr="00410124" w:rsidRDefault="00391158" w:rsidP="00391158">
      <w:pPr>
        <w:widowControl w:val="0"/>
        <w:spacing w:after="60"/>
        <w:jc w:val="both"/>
      </w:pPr>
      <w:r w:rsidRPr="00410124">
        <w:t>Председатель Комиссии:</w:t>
      </w:r>
    </w:p>
    <w:p w:rsidR="00391158" w:rsidRPr="00410124" w:rsidRDefault="00391158" w:rsidP="00391158">
      <w:pPr>
        <w:widowControl w:val="0"/>
        <w:spacing w:after="60"/>
        <w:jc w:val="both"/>
      </w:pPr>
      <w:r w:rsidRPr="00410124">
        <w:t>- А.И. Бусурин;</w:t>
      </w:r>
    </w:p>
    <w:p w:rsidR="00391158" w:rsidRPr="00410124" w:rsidRDefault="00391158" w:rsidP="00391158">
      <w:pPr>
        <w:widowControl w:val="0"/>
        <w:spacing w:after="60"/>
        <w:jc w:val="both"/>
      </w:pPr>
      <w:r w:rsidRPr="00410124">
        <w:t>Члены Комиссии:</w:t>
      </w:r>
    </w:p>
    <w:p w:rsidR="00410124" w:rsidRPr="00410124" w:rsidRDefault="00410124" w:rsidP="00410124">
      <w:pPr>
        <w:widowControl w:val="0"/>
        <w:spacing w:after="60"/>
        <w:jc w:val="both"/>
      </w:pPr>
      <w:r w:rsidRPr="00410124">
        <w:t xml:space="preserve">- </w:t>
      </w:r>
      <w:r w:rsidR="003D5072">
        <w:t>М.И. Каров</w:t>
      </w:r>
      <w:r w:rsidRPr="00410124">
        <w:t>;</w:t>
      </w:r>
    </w:p>
    <w:p w:rsidR="00410124" w:rsidRPr="00410124" w:rsidRDefault="003D5072" w:rsidP="00410124">
      <w:pPr>
        <w:widowControl w:val="0"/>
        <w:spacing w:after="60"/>
        <w:jc w:val="both"/>
      </w:pPr>
      <w:r w:rsidRPr="00410124">
        <w:t xml:space="preserve">- </w:t>
      </w:r>
      <w:r w:rsidRPr="00E244BF">
        <w:t>А.В. Латышонок</w:t>
      </w:r>
      <w:r w:rsidR="00410124" w:rsidRPr="00410124">
        <w:t>;</w:t>
      </w:r>
    </w:p>
    <w:p w:rsidR="00410124" w:rsidRPr="00410124" w:rsidRDefault="00410124" w:rsidP="00410124">
      <w:pPr>
        <w:widowControl w:val="0"/>
        <w:spacing w:after="60"/>
        <w:jc w:val="both"/>
      </w:pPr>
      <w:r w:rsidRPr="00410124">
        <w:t>- М.С. Зеленяк.</w:t>
      </w:r>
    </w:p>
    <w:p w:rsidR="00391158" w:rsidRPr="00410124" w:rsidRDefault="00391158" w:rsidP="00391158">
      <w:pPr>
        <w:spacing w:after="60"/>
        <w:jc w:val="both"/>
      </w:pPr>
      <w:r w:rsidRPr="00410124">
        <w:t xml:space="preserve">Кворум для проведения заседания имеется. </w:t>
      </w:r>
    </w:p>
    <w:p w:rsidR="00391158" w:rsidRPr="00410124" w:rsidRDefault="00391158" w:rsidP="00391158">
      <w:pPr>
        <w:spacing w:after="60"/>
        <w:jc w:val="both"/>
      </w:pPr>
      <w:r w:rsidRPr="00410124">
        <w:t>Секретарь: Д.Е. Прохорова.</w:t>
      </w:r>
    </w:p>
    <w:p w:rsidR="00391158" w:rsidRPr="003D5072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158" w:rsidRPr="00410124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0124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10124" w:rsidRDefault="00391158" w:rsidP="005D6D67">
      <w:pPr>
        <w:ind w:firstLine="709"/>
        <w:jc w:val="both"/>
      </w:pPr>
      <w:r w:rsidRPr="00410124">
        <w:t xml:space="preserve">1. </w:t>
      </w:r>
      <w:r w:rsidR="00896E3F" w:rsidRPr="00410124">
        <w:t xml:space="preserve">О заключении договора </w:t>
      </w:r>
      <w:r w:rsidR="00A34948" w:rsidRPr="00410124">
        <w:t xml:space="preserve">оказания услуг </w:t>
      </w:r>
      <w:r w:rsidR="005D6D67" w:rsidRPr="005D6D67">
        <w:rPr>
          <w:szCs w:val="26"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="002305F1" w:rsidRPr="00410124">
        <w:t xml:space="preserve"> </w:t>
      </w:r>
      <w:r w:rsidR="00896E3F" w:rsidRPr="00410124">
        <w:t xml:space="preserve">в порядке заключения договора с единственным поставщиком (подрядчиком) (реестровый номер: </w:t>
      </w:r>
      <w:r w:rsidR="005D6D67">
        <w:t>188</w:t>
      </w:r>
      <w:r w:rsidR="00896E3F" w:rsidRPr="00410124">
        <w:t>-2021).</w:t>
      </w:r>
    </w:p>
    <w:p w:rsidR="00140FE9" w:rsidRPr="00410124" w:rsidRDefault="00140FE9" w:rsidP="00391158">
      <w:pPr>
        <w:spacing w:line="252" w:lineRule="auto"/>
        <w:ind w:firstLine="709"/>
        <w:jc w:val="both"/>
      </w:pPr>
    </w:p>
    <w:p w:rsidR="00391158" w:rsidRPr="0041012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D6D67" w:rsidRPr="00410124" w:rsidRDefault="005D6D67" w:rsidP="005D6D67">
      <w:pPr>
        <w:ind w:firstLine="709"/>
        <w:jc w:val="both"/>
      </w:pPr>
      <w:r w:rsidRPr="00410124">
        <w:t xml:space="preserve">1. О заключении договора оказания услуг </w:t>
      </w:r>
      <w:r w:rsidRPr="005D6D67">
        <w:rPr>
          <w:szCs w:val="26"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Pr="00410124">
        <w:t xml:space="preserve"> в порядке заключения договора с единственным поставщиком (подрядчиком) (реестровый номер: </w:t>
      </w:r>
      <w:r>
        <w:t>188</w:t>
      </w:r>
      <w:r w:rsidRPr="00410124">
        <w:t>-2021).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</w:pPr>
      <w:r w:rsidRPr="00410124">
        <w:t>1</w:t>
      </w:r>
      <w:r w:rsidR="00DF3385" w:rsidRPr="00410124">
        <w:t xml:space="preserve">.1. </w:t>
      </w:r>
      <w:proofErr w:type="gramStart"/>
      <w:r w:rsidR="00DF3385" w:rsidRPr="00410124">
        <w:t>При проведении открытого запроса котировок в электронной форме</w:t>
      </w:r>
      <w:r w:rsidR="002305F1" w:rsidRPr="00410124">
        <w:rPr>
          <w:szCs w:val="26"/>
        </w:rPr>
        <w:t xml:space="preserve"> на право заключения договора оказания услуг </w:t>
      </w:r>
      <w:r w:rsidR="005D6D67" w:rsidRPr="005D6D67">
        <w:rPr>
          <w:szCs w:val="26"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="005D6D67" w:rsidRPr="00410124">
        <w:t xml:space="preserve"> </w:t>
      </w:r>
      <w:r w:rsidR="00CE28AC" w:rsidRPr="00410124">
        <w:t xml:space="preserve">(реестровый номер: </w:t>
      </w:r>
      <w:r w:rsidR="005D6D67">
        <w:t>178</w:t>
      </w:r>
      <w:r w:rsidR="00CE28AC" w:rsidRPr="00410124">
        <w:t>-2021)</w:t>
      </w:r>
      <w:r w:rsidR="00DF3385" w:rsidRPr="00410124">
        <w:t xml:space="preserve"> </w:t>
      </w:r>
      <w:r w:rsidR="00CE28AC" w:rsidRPr="00410124">
        <w:t>не было подано ни одной</w:t>
      </w:r>
      <w:r w:rsidR="00DF3385" w:rsidRPr="00410124">
        <w:t xml:space="preserve"> заявки </w:t>
      </w:r>
      <w:r w:rsidR="00CE28AC" w:rsidRPr="00410124">
        <w:t>и</w:t>
      </w:r>
      <w:r w:rsidR="00DF3385" w:rsidRPr="00410124">
        <w:t xml:space="preserve"> закупочной комиссией принято решение применить другой способ закупки - </w:t>
      </w:r>
      <w:r w:rsidR="002305F1" w:rsidRPr="00410124">
        <w:t xml:space="preserve">осуществить закупку услуг </w:t>
      </w:r>
      <w:r w:rsidR="005D6D67" w:rsidRPr="005D6D67">
        <w:rPr>
          <w:szCs w:val="26"/>
        </w:rPr>
        <w:t>по оперативно-технологическому управлению, техническому обслуживанию и</w:t>
      </w:r>
      <w:proofErr w:type="gramEnd"/>
      <w:r w:rsidR="005D6D67" w:rsidRPr="005D6D67">
        <w:rPr>
          <w:szCs w:val="26"/>
        </w:rPr>
        <w:t xml:space="preserve"> аварийно-восстановительным работам электросетевых объектов 0,4-10 кВ Централизованной зоны электроснабжения в г. Ханты-Мансийске</w:t>
      </w:r>
      <w:r w:rsidR="005D6D67" w:rsidRPr="00410124">
        <w:t xml:space="preserve"> </w:t>
      </w:r>
      <w:r w:rsidR="00DF3385" w:rsidRPr="00410124">
        <w:t xml:space="preserve">у единственного поставщика (подрядчика, исполнителя) (протокол № </w:t>
      </w:r>
      <w:r w:rsidR="005D6D67">
        <w:t>159</w:t>
      </w:r>
      <w:r w:rsidR="00DF3385" w:rsidRPr="00410124">
        <w:t xml:space="preserve"> от </w:t>
      </w:r>
      <w:r w:rsidR="005D6D67">
        <w:t>21</w:t>
      </w:r>
      <w:r w:rsidR="002305F1" w:rsidRPr="00410124">
        <w:t>.12</w:t>
      </w:r>
      <w:r w:rsidR="00DF3385" w:rsidRPr="00410124">
        <w:t>.2021 года).</w:t>
      </w:r>
    </w:p>
    <w:p w:rsidR="00DF3385" w:rsidRPr="00410124" w:rsidRDefault="00DF3385" w:rsidP="00DF3385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410124">
        <w:t>пп</w:t>
      </w:r>
      <w:proofErr w:type="spellEnd"/>
      <w:r w:rsidRPr="00410124">
        <w:t xml:space="preserve">. 23 п. 3.2.5. ст. 3.2. </w:t>
      </w:r>
      <w:proofErr w:type="gramStart"/>
      <w:r w:rsidRPr="00410124">
        <w:t xml:space="preserve">Положения о порядке проведения закупок товаров, работ, услуг в АО «ЮРЭСК», в случае, если при проведении конкурентной закупки не было представлено ни одной заявки,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документации, возможно заключение договора в порядке заключения договора с единственным поставщиком (подрядчиком, исполнителем). </w:t>
      </w:r>
      <w:proofErr w:type="gramEnd"/>
    </w:p>
    <w:p w:rsidR="00DF3385" w:rsidRPr="00410124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10124">
        <w:t>1</w:t>
      </w:r>
      <w:r w:rsidR="00DF3385" w:rsidRPr="00410124">
        <w:t xml:space="preserve">.2. </w:t>
      </w:r>
      <w:proofErr w:type="gramStart"/>
      <w:r w:rsidR="00DF3385" w:rsidRPr="00410124">
        <w:t>Учитывая вышеизложенное, на голосование вынесен следующий вопрос:</w:t>
      </w:r>
      <w:proofErr w:type="gramEnd"/>
      <w:r w:rsidR="00DF3385" w:rsidRPr="00410124">
        <w:rPr>
          <w:b/>
          <w:i/>
        </w:rPr>
        <w:t xml:space="preserve"> </w:t>
      </w:r>
      <w:r w:rsidR="00DF3385" w:rsidRPr="00410124">
        <w:rPr>
          <w:b/>
          <w:i/>
          <w:snapToGrid w:val="0"/>
        </w:rPr>
        <w:t>«</w:t>
      </w:r>
      <w:r w:rsidR="00DF3385" w:rsidRPr="00410124">
        <w:rPr>
          <w:b/>
          <w:i/>
          <w:snapToGrid w:val="0"/>
          <w:color w:val="000000"/>
        </w:rPr>
        <w:t xml:space="preserve">Заключить </w:t>
      </w:r>
      <w:r w:rsidR="00DF3385" w:rsidRPr="00410124">
        <w:rPr>
          <w:b/>
          <w:i/>
        </w:rPr>
        <w:t xml:space="preserve">договор </w:t>
      </w:r>
      <w:r w:rsidR="00A34948" w:rsidRPr="00410124">
        <w:rPr>
          <w:b/>
          <w:i/>
        </w:rPr>
        <w:t xml:space="preserve">оказания услуг </w:t>
      </w:r>
      <w:r w:rsidR="005D6D67" w:rsidRPr="005D6D67">
        <w:rPr>
          <w:b/>
          <w:i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Централизованной зоны электроснабжения в г. Ханты-Мансийске</w:t>
      </w:r>
      <w:r w:rsidR="00CE28AC" w:rsidRPr="00410124">
        <w:rPr>
          <w:b/>
          <w:i/>
        </w:rPr>
        <w:t xml:space="preserve"> </w:t>
      </w:r>
      <w:r w:rsidR="00DF3385" w:rsidRPr="00410124">
        <w:rPr>
          <w:b/>
          <w:i/>
        </w:rPr>
        <w:t>в порядке заключения договора с единст</w:t>
      </w:r>
      <w:r w:rsidR="00ED7EF1">
        <w:rPr>
          <w:b/>
          <w:i/>
        </w:rPr>
        <w:t>венным поставщиком (подрядчиком</w:t>
      </w:r>
      <w:r w:rsidR="00DF3385" w:rsidRPr="00410124">
        <w:rPr>
          <w:b/>
          <w:i/>
        </w:rPr>
        <w:t xml:space="preserve">) на следующих условиях: </w:t>
      </w:r>
    </w:p>
    <w:p w:rsidR="00DF3385" w:rsidRPr="00410124" w:rsidRDefault="00A34948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lastRenderedPageBreak/>
        <w:t>Исполнитель</w:t>
      </w:r>
      <w:r w:rsidR="00DF3385" w:rsidRPr="00410124">
        <w:rPr>
          <w:b/>
          <w:i/>
        </w:rPr>
        <w:t xml:space="preserve">: </w:t>
      </w:r>
      <w:r w:rsidR="005D6D67" w:rsidRPr="005D6D67">
        <w:rPr>
          <w:b/>
          <w:i/>
        </w:rPr>
        <w:t xml:space="preserve">ООО «ХМГЭС» </w:t>
      </w:r>
      <w:r w:rsidR="00DF3385" w:rsidRPr="00410124">
        <w:rPr>
          <w:b/>
          <w:i/>
        </w:rPr>
        <w:t xml:space="preserve">(адрес места </w:t>
      </w:r>
      <w:r w:rsidR="00CE28AC" w:rsidRPr="00410124">
        <w:rPr>
          <w:b/>
          <w:i/>
        </w:rPr>
        <w:t>нахождения</w:t>
      </w:r>
      <w:r w:rsidR="00DF3385" w:rsidRPr="00410124">
        <w:rPr>
          <w:b/>
          <w:i/>
        </w:rPr>
        <w:t xml:space="preserve">: </w:t>
      </w:r>
      <w:r w:rsidR="005E7959">
        <w:rPr>
          <w:b/>
          <w:i/>
        </w:rPr>
        <w:t>628011, ХМАО-Югра, г. </w:t>
      </w:r>
      <w:r w:rsidR="005D6D67" w:rsidRPr="005D6D67">
        <w:rPr>
          <w:b/>
          <w:i/>
        </w:rPr>
        <w:t>Ханты-Мансийск, ул. Дзержинского, 21</w:t>
      </w:r>
      <w:r w:rsidR="00DF3385" w:rsidRPr="00410124">
        <w:rPr>
          <w:b/>
          <w:i/>
        </w:rPr>
        <w:t xml:space="preserve">; </w:t>
      </w:r>
      <w:r w:rsidR="005D6D67" w:rsidRPr="005D6D67">
        <w:rPr>
          <w:b/>
          <w:i/>
        </w:rPr>
        <w:t>ИНН 8601069675, КПП 860101001</w:t>
      </w:r>
      <w:r w:rsidR="005E7959">
        <w:rPr>
          <w:b/>
          <w:i/>
        </w:rPr>
        <w:t>, ОГРН </w:t>
      </w:r>
      <w:r w:rsidR="005D6D67" w:rsidRPr="005D6D67">
        <w:rPr>
          <w:b/>
          <w:i/>
        </w:rPr>
        <w:t>1208600003523</w:t>
      </w:r>
      <w:r w:rsidR="00DF3385" w:rsidRPr="00410124">
        <w:rPr>
          <w:b/>
          <w:i/>
        </w:rPr>
        <w:t>);</w:t>
      </w:r>
    </w:p>
    <w:p w:rsidR="00DF3385" w:rsidRPr="00410124" w:rsidRDefault="00A34948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Заказчик</w:t>
      </w:r>
      <w:r w:rsidR="00DF3385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410124" w:rsidRDefault="00DF3385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Предмет договора: </w:t>
      </w:r>
      <w:r w:rsidR="00A34948" w:rsidRPr="00410124">
        <w:rPr>
          <w:b/>
          <w:i/>
        </w:rPr>
        <w:t>оказани</w:t>
      </w:r>
      <w:r w:rsidR="001A2F3E" w:rsidRPr="00410124">
        <w:rPr>
          <w:b/>
          <w:i/>
        </w:rPr>
        <w:t>е</w:t>
      </w:r>
      <w:r w:rsidR="00A34948" w:rsidRPr="00410124">
        <w:rPr>
          <w:b/>
          <w:i/>
        </w:rPr>
        <w:t xml:space="preserve"> услуг </w:t>
      </w:r>
      <w:r w:rsidR="005D6D67" w:rsidRPr="005D6D67">
        <w:rPr>
          <w:b/>
          <w:i/>
        </w:rPr>
        <w:t>по оперативно-технологическому управлению, техническому обслуживанию и аварийно-восстановительным работам электросетевых объектов 0,4-10 кВ Централизова</w:t>
      </w:r>
      <w:r w:rsidR="005E7959">
        <w:rPr>
          <w:b/>
          <w:i/>
        </w:rPr>
        <w:t>нной зоны электроснабжения в г. </w:t>
      </w:r>
      <w:r w:rsidR="005D6D67" w:rsidRPr="005D6D67">
        <w:rPr>
          <w:b/>
          <w:i/>
        </w:rPr>
        <w:t>Ханты-Мансийске</w:t>
      </w:r>
      <w:r w:rsidRPr="00410124">
        <w:rPr>
          <w:b/>
          <w:i/>
        </w:rPr>
        <w:t>;</w:t>
      </w:r>
    </w:p>
    <w:p w:rsidR="007A1C40" w:rsidRDefault="00DF3385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Срок</w:t>
      </w:r>
      <w:r w:rsidR="007A1C40">
        <w:rPr>
          <w:b/>
          <w:i/>
        </w:rPr>
        <w:t>и</w:t>
      </w:r>
      <w:r w:rsidRPr="00410124">
        <w:rPr>
          <w:b/>
          <w:i/>
        </w:rPr>
        <w:t xml:space="preserve"> </w:t>
      </w:r>
      <w:r w:rsidR="00A34948" w:rsidRPr="00410124">
        <w:rPr>
          <w:b/>
          <w:i/>
        </w:rPr>
        <w:t>оказания услуг</w:t>
      </w:r>
      <w:r w:rsidR="00923619">
        <w:rPr>
          <w:b/>
          <w:i/>
        </w:rPr>
        <w:t>/работ</w:t>
      </w:r>
      <w:r w:rsidRPr="00410124">
        <w:rPr>
          <w:b/>
          <w:i/>
        </w:rPr>
        <w:t xml:space="preserve">: </w:t>
      </w:r>
    </w:p>
    <w:p w:rsidR="007A1C40" w:rsidRPr="007A1C40" w:rsidRDefault="007A1C40" w:rsidP="007A1C40">
      <w:pPr>
        <w:pStyle w:val="a4"/>
        <w:numPr>
          <w:ilvl w:val="1"/>
          <w:numId w:val="1"/>
        </w:numPr>
        <w:tabs>
          <w:tab w:val="left" w:pos="513"/>
        </w:tabs>
        <w:jc w:val="both"/>
        <w:rPr>
          <w:b/>
          <w:i/>
          <w:sz w:val="24"/>
          <w:lang w:eastAsia="ru-RU"/>
        </w:rPr>
      </w:pPr>
      <w:r w:rsidRPr="007A1C40">
        <w:rPr>
          <w:b/>
          <w:i/>
          <w:sz w:val="24"/>
          <w:lang w:eastAsia="ru-RU"/>
        </w:rPr>
        <w:t xml:space="preserve">начало оказания услуг/работ: </w:t>
      </w:r>
      <w:proofErr w:type="gramStart"/>
      <w:r w:rsidRPr="007A1C40">
        <w:rPr>
          <w:b/>
          <w:i/>
          <w:sz w:val="24"/>
          <w:lang w:eastAsia="ru-RU"/>
        </w:rPr>
        <w:t>с даты заключения</w:t>
      </w:r>
      <w:proofErr w:type="gramEnd"/>
      <w:r w:rsidRPr="007A1C40">
        <w:rPr>
          <w:b/>
          <w:i/>
          <w:sz w:val="24"/>
          <w:lang w:eastAsia="ru-RU"/>
        </w:rPr>
        <w:t xml:space="preserve"> договора</w:t>
      </w:r>
      <w:r w:rsidR="008F3976">
        <w:rPr>
          <w:b/>
          <w:i/>
          <w:sz w:val="24"/>
          <w:lang w:eastAsia="ru-RU"/>
        </w:rPr>
        <w:t>;</w:t>
      </w:r>
    </w:p>
    <w:p w:rsidR="00DF3385" w:rsidRPr="00410124" w:rsidRDefault="007A1C40" w:rsidP="007A1C40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</w:t>
      </w:r>
      <w:r w:rsidRPr="007A1C40">
        <w:rPr>
          <w:b/>
          <w:i/>
        </w:rPr>
        <w:t>оказания услуг/работ:</w:t>
      </w:r>
      <w:r w:rsidR="002305F1" w:rsidRPr="00410124">
        <w:rPr>
          <w:b/>
          <w:i/>
        </w:rPr>
        <w:t xml:space="preserve"> 31.12.</w:t>
      </w:r>
      <w:r w:rsidR="005D6D67">
        <w:rPr>
          <w:b/>
          <w:i/>
        </w:rPr>
        <w:t>2022</w:t>
      </w:r>
      <w:r w:rsidR="002305F1" w:rsidRPr="00410124">
        <w:rPr>
          <w:b/>
          <w:i/>
        </w:rPr>
        <w:t xml:space="preserve"> </w:t>
      </w:r>
      <w:r w:rsidR="00A34948" w:rsidRPr="00410124">
        <w:rPr>
          <w:b/>
          <w:i/>
        </w:rPr>
        <w:t>года</w:t>
      </w:r>
      <w:r>
        <w:rPr>
          <w:b/>
          <w:i/>
        </w:rPr>
        <w:t>.</w:t>
      </w:r>
    </w:p>
    <w:p w:rsidR="00DF3385" w:rsidRPr="00410124" w:rsidRDefault="00DF3385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Место </w:t>
      </w:r>
      <w:r w:rsidR="00A34948" w:rsidRPr="00410124">
        <w:rPr>
          <w:b/>
          <w:i/>
        </w:rPr>
        <w:t>оказания услуг</w:t>
      </w:r>
      <w:r w:rsidRPr="00410124">
        <w:rPr>
          <w:b/>
          <w:i/>
        </w:rPr>
        <w:t xml:space="preserve">: </w:t>
      </w:r>
      <w:r w:rsidR="005D6D67" w:rsidRPr="005D6D67">
        <w:rPr>
          <w:b/>
          <w:i/>
        </w:rPr>
        <w:t>ХМАО-Югра, г. Ханты-Мансийск</w:t>
      </w:r>
      <w:r w:rsidRPr="00410124">
        <w:rPr>
          <w:b/>
          <w:i/>
        </w:rPr>
        <w:t>;</w:t>
      </w:r>
    </w:p>
    <w:p w:rsidR="00DF3385" w:rsidRPr="00410124" w:rsidRDefault="00DF3385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Цена договора</w:t>
      </w:r>
      <w:r w:rsidR="00CE28AC" w:rsidRPr="00410124">
        <w:rPr>
          <w:b/>
          <w:i/>
        </w:rPr>
        <w:t xml:space="preserve">: </w:t>
      </w:r>
      <w:r w:rsidR="005D6D67" w:rsidRPr="005D6D67">
        <w:rPr>
          <w:b/>
          <w:i/>
        </w:rPr>
        <w:t xml:space="preserve">8 886 034 </w:t>
      </w:r>
      <w:r w:rsidR="001A2F3E" w:rsidRPr="00410124">
        <w:rPr>
          <w:b/>
          <w:i/>
        </w:rPr>
        <w:t>(</w:t>
      </w:r>
      <w:r w:rsidR="005D6D67">
        <w:rPr>
          <w:b/>
          <w:i/>
        </w:rPr>
        <w:t>восемь миллионов восемьсот восемьдесят шесть тысяч тридцать четыре</w:t>
      </w:r>
      <w:r w:rsidR="001A2F3E" w:rsidRPr="00410124">
        <w:rPr>
          <w:b/>
          <w:i/>
        </w:rPr>
        <w:t>) рубл</w:t>
      </w:r>
      <w:r w:rsidR="005D6D67">
        <w:rPr>
          <w:b/>
          <w:i/>
        </w:rPr>
        <w:t>я</w:t>
      </w:r>
      <w:r w:rsidR="001A2F3E" w:rsidRPr="00410124">
        <w:rPr>
          <w:b/>
          <w:i/>
        </w:rPr>
        <w:t xml:space="preserve"> </w:t>
      </w:r>
      <w:r w:rsidR="005D6D67">
        <w:rPr>
          <w:b/>
          <w:i/>
        </w:rPr>
        <w:t>20</w:t>
      </w:r>
      <w:r w:rsidR="001A2F3E" w:rsidRPr="00410124">
        <w:rPr>
          <w:b/>
          <w:i/>
        </w:rPr>
        <w:t xml:space="preserve"> копеек, </w:t>
      </w:r>
      <w:r w:rsidR="005D6D67">
        <w:rPr>
          <w:b/>
          <w:i/>
        </w:rPr>
        <w:t xml:space="preserve">в том числе, </w:t>
      </w:r>
      <w:r w:rsidR="001A2F3E" w:rsidRPr="00410124">
        <w:rPr>
          <w:b/>
          <w:i/>
        </w:rPr>
        <w:t xml:space="preserve">НДС </w:t>
      </w:r>
      <w:r w:rsidR="005D6D67">
        <w:rPr>
          <w:b/>
          <w:i/>
        </w:rPr>
        <w:t>- 1 481 </w:t>
      </w:r>
      <w:r w:rsidR="005D6D67" w:rsidRPr="005D6D67">
        <w:rPr>
          <w:b/>
          <w:i/>
        </w:rPr>
        <w:t>005 (один миллион четыреста восемьдесят одна тысяча пять) рублей 70 копеек</w:t>
      </w:r>
      <w:r w:rsidR="005E7959">
        <w:rPr>
          <w:b/>
          <w:i/>
        </w:rPr>
        <w:t xml:space="preserve">. </w:t>
      </w:r>
      <w:r w:rsidR="005E7959" w:rsidRPr="005E7959">
        <w:rPr>
          <w:b/>
          <w:i/>
        </w:rPr>
        <w:t xml:space="preserve">Авансовый платеж предусмотрен в размере не более 30% </w:t>
      </w:r>
      <w:r w:rsidR="005E7959">
        <w:rPr>
          <w:b/>
          <w:i/>
        </w:rPr>
        <w:t>от максимальной цены договора</w:t>
      </w:r>
      <w:r w:rsidRPr="00410124">
        <w:rPr>
          <w:b/>
          <w:i/>
        </w:rPr>
        <w:t>;</w:t>
      </w:r>
    </w:p>
    <w:p w:rsidR="00DF3385" w:rsidRDefault="00DF3385" w:rsidP="005E795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proofErr w:type="gramStart"/>
      <w:r w:rsidR="005E7959" w:rsidRPr="005E7959">
        <w:rPr>
          <w:b/>
          <w:i/>
        </w:rPr>
        <w:t>Заказчик ежемесячно осуществляет оплату до 25 (двадцатого) числа (включительно) месяца, следующего за отчетным</w:t>
      </w:r>
      <w:r w:rsidR="005E7959">
        <w:rPr>
          <w:b/>
          <w:i/>
        </w:rPr>
        <w:t>,</w:t>
      </w:r>
      <w:r w:rsidR="005E7959" w:rsidRPr="005E7959">
        <w:rPr>
          <w:b/>
          <w:i/>
        </w:rPr>
        <w:t xml:space="preserve"> путем перечисления денежных средств на расчетный счет Исполнителя за фактически оказанные Исполнителем Услуги (выполненные Работы), после подписания обеими Сторонами акта об оказании Услуг (акта о приемке-передаче выполненных работ) и получения Заказчиком оригинала счета, счета-фактуры, оформленных надлежащим образом, а также акта выполненных работ (КС-2) и справку (КС-3) в</w:t>
      </w:r>
      <w:proofErr w:type="gramEnd"/>
      <w:r w:rsidR="005E7959" w:rsidRPr="005E7959">
        <w:rPr>
          <w:b/>
          <w:i/>
        </w:rPr>
        <w:t xml:space="preserve"> двух экземплярах, оригиналов актов выполненных работ после аварийно-восстановительного ремонта (если выполнялись аварийные работы), ведомости материалов заказчика, акта расходования материальных ценностей заказчика при выполнении работ по договору подряда  (в случае получения и установки материала и оборудования Заказчика), а также документов указанных в Техническом задании.</w:t>
      </w:r>
    </w:p>
    <w:p w:rsidR="006D6401" w:rsidRPr="00410124" w:rsidRDefault="006D6401" w:rsidP="006D640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Гарантийный срок - г</w:t>
      </w:r>
      <w:r w:rsidRPr="006D6401">
        <w:rPr>
          <w:b/>
          <w:i/>
        </w:rPr>
        <w:t xml:space="preserve">арантийный срок на результат выполненных </w:t>
      </w:r>
      <w:r>
        <w:rPr>
          <w:b/>
          <w:i/>
        </w:rPr>
        <w:t>р</w:t>
      </w:r>
      <w:r w:rsidRPr="006D6401">
        <w:rPr>
          <w:b/>
          <w:i/>
        </w:rPr>
        <w:t>абот, в том числе на все составляющие его материалы, конструкции, оборудование и иные части, составляет 12 (двенадцать) месяцев, и начинает течь со следующего дня после подписания обеими Сторонами соответствующего акта (по форме КС-2)</w:t>
      </w:r>
      <w:r>
        <w:rPr>
          <w:b/>
          <w:i/>
        </w:rPr>
        <w:t>.</w:t>
      </w:r>
    </w:p>
    <w:p w:rsidR="00DF3385" w:rsidRPr="00410124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10124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10124">
        <w:rPr>
          <w:b/>
        </w:rPr>
        <w:t xml:space="preserve">Дата составления протокола: </w:t>
      </w:r>
      <w:r w:rsidR="005D6D67">
        <w:rPr>
          <w:b/>
        </w:rPr>
        <w:t>30</w:t>
      </w:r>
      <w:r w:rsidR="005B75B3" w:rsidRPr="00410124">
        <w:rPr>
          <w:b/>
        </w:rPr>
        <w:t xml:space="preserve"> </w:t>
      </w:r>
      <w:r w:rsidR="007D20A4" w:rsidRPr="00410124">
        <w:rPr>
          <w:b/>
        </w:rPr>
        <w:t>декабря</w:t>
      </w:r>
      <w:r w:rsidR="005B75B3" w:rsidRPr="00410124">
        <w:rPr>
          <w:b/>
        </w:rPr>
        <w:t xml:space="preserve"> </w:t>
      </w:r>
      <w:r w:rsidRPr="00410124">
        <w:rPr>
          <w:b/>
        </w:rPr>
        <w:t xml:space="preserve">2021 года. </w:t>
      </w:r>
    </w:p>
    <w:p w:rsidR="00410124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  <w:rPr>
          <w:lang w:val="en-US"/>
        </w:rPr>
      </w:pPr>
    </w:p>
    <w:p w:rsidR="00503FD0" w:rsidRPr="00503FD0" w:rsidRDefault="00503FD0" w:rsidP="00410124">
      <w:pPr>
        <w:tabs>
          <w:tab w:val="left" w:pos="5529"/>
        </w:tabs>
        <w:autoSpaceDE w:val="0"/>
        <w:autoSpaceDN w:val="0"/>
        <w:adjustRightInd w:val="0"/>
        <w:jc w:val="both"/>
        <w:rPr>
          <w:lang w:val="en-US"/>
        </w:rPr>
      </w:pPr>
      <w:bookmarkStart w:id="0" w:name="_GoBack"/>
      <w:bookmarkEnd w:id="0"/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410124" w:rsidRPr="00410124" w:rsidTr="00EA2117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410124" w:rsidRPr="00410124" w:rsidRDefault="00410124" w:rsidP="004101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0124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410124" w:rsidRPr="00410124" w:rsidRDefault="00410124" w:rsidP="00410124">
            <w:pPr>
              <w:spacing w:line="276" w:lineRule="auto"/>
              <w:jc w:val="both"/>
              <w:rPr>
                <w:lang w:eastAsia="en-US"/>
              </w:rPr>
            </w:pPr>
            <w:r w:rsidRPr="00410124">
              <w:rPr>
                <w:lang w:eastAsia="en-US"/>
              </w:rPr>
              <w:t>А.И. Бусурин ____________________</w:t>
            </w:r>
          </w:p>
        </w:tc>
      </w:tr>
      <w:tr w:rsidR="00410124" w:rsidRPr="00410124" w:rsidTr="00EA2117">
        <w:trPr>
          <w:trHeight w:val="20"/>
          <w:jc w:val="center"/>
        </w:trPr>
        <w:tc>
          <w:tcPr>
            <w:tcW w:w="5035" w:type="dxa"/>
            <w:vAlign w:val="center"/>
          </w:tcPr>
          <w:p w:rsidR="00410124" w:rsidRPr="00410124" w:rsidRDefault="00410124" w:rsidP="0041012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10124" w:rsidRPr="00410124" w:rsidRDefault="00410124" w:rsidP="0041012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10124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410124" w:rsidRPr="00410124" w:rsidRDefault="00410124" w:rsidP="00410124">
            <w:pPr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410124" w:rsidP="00410124">
            <w:pPr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3D5072" w:rsidP="00410124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М.И. Каров </w:t>
            </w:r>
            <w:r>
              <w:rPr>
                <w:lang w:eastAsia="en-US"/>
              </w:rPr>
              <w:t>______________________</w:t>
            </w:r>
          </w:p>
        </w:tc>
      </w:tr>
      <w:tr w:rsidR="00410124" w:rsidRPr="00410124" w:rsidTr="00EA2117">
        <w:trPr>
          <w:trHeight w:val="20"/>
          <w:jc w:val="center"/>
        </w:trPr>
        <w:tc>
          <w:tcPr>
            <w:tcW w:w="5035" w:type="dxa"/>
            <w:vAlign w:val="center"/>
          </w:tcPr>
          <w:p w:rsidR="00410124" w:rsidRPr="00410124" w:rsidRDefault="00410124" w:rsidP="0041012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10124" w:rsidRPr="00410124" w:rsidRDefault="00410124" w:rsidP="00410124">
            <w:pPr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410124" w:rsidP="00410124">
            <w:pPr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3D5072" w:rsidP="0041012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E244BF">
              <w:t>А.В. Латышонок</w:t>
            </w:r>
            <w:r>
              <w:rPr>
                <w:lang w:eastAsia="en-US"/>
              </w:rPr>
              <w:t>__________________</w:t>
            </w:r>
          </w:p>
        </w:tc>
      </w:tr>
      <w:tr w:rsidR="00410124" w:rsidRPr="00410124" w:rsidTr="00EA2117">
        <w:trPr>
          <w:trHeight w:val="20"/>
          <w:jc w:val="center"/>
        </w:trPr>
        <w:tc>
          <w:tcPr>
            <w:tcW w:w="5035" w:type="dxa"/>
            <w:vAlign w:val="center"/>
          </w:tcPr>
          <w:p w:rsidR="00410124" w:rsidRPr="00410124" w:rsidRDefault="00410124" w:rsidP="0041012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410124" w:rsidRPr="00410124" w:rsidRDefault="00410124" w:rsidP="0041012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410124" w:rsidP="0041012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10124" w:rsidRPr="00410124" w:rsidRDefault="00410124" w:rsidP="00410124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410124">
              <w:rPr>
                <w:lang w:eastAsia="en-US"/>
              </w:rPr>
              <w:t xml:space="preserve">М.С. Зеленяк </w:t>
            </w:r>
            <w:r w:rsidR="003D5072">
              <w:rPr>
                <w:lang w:eastAsia="en-US"/>
              </w:rPr>
              <w:t>____________________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3D507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FC" w:rsidRDefault="00E425FC" w:rsidP="001254E1">
      <w:r>
        <w:separator/>
      </w:r>
    </w:p>
  </w:endnote>
  <w:endnote w:type="continuationSeparator" w:id="0">
    <w:p w:rsidR="00E425FC" w:rsidRDefault="00E425F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D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FC" w:rsidRDefault="00E425FC" w:rsidP="001254E1">
      <w:r>
        <w:separator/>
      </w:r>
    </w:p>
  </w:footnote>
  <w:footnote w:type="continuationSeparator" w:id="0">
    <w:p w:rsidR="00E425FC" w:rsidRDefault="00E425F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82B45"/>
    <w:rsid w:val="000A228D"/>
    <w:rsid w:val="000A2FD5"/>
    <w:rsid w:val="000C2D6C"/>
    <w:rsid w:val="000D0708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82150"/>
    <w:rsid w:val="002C2A2B"/>
    <w:rsid w:val="00335C2A"/>
    <w:rsid w:val="00336483"/>
    <w:rsid w:val="00337117"/>
    <w:rsid w:val="00353A3F"/>
    <w:rsid w:val="0035474E"/>
    <w:rsid w:val="00391158"/>
    <w:rsid w:val="003A6E8A"/>
    <w:rsid w:val="003A70C3"/>
    <w:rsid w:val="003A7A40"/>
    <w:rsid w:val="003C366E"/>
    <w:rsid w:val="003D390C"/>
    <w:rsid w:val="003D5072"/>
    <w:rsid w:val="0040025B"/>
    <w:rsid w:val="00410124"/>
    <w:rsid w:val="00470346"/>
    <w:rsid w:val="00503FD0"/>
    <w:rsid w:val="00516F7C"/>
    <w:rsid w:val="00551E6B"/>
    <w:rsid w:val="00552987"/>
    <w:rsid w:val="00562AA9"/>
    <w:rsid w:val="005A4B1F"/>
    <w:rsid w:val="005B75B3"/>
    <w:rsid w:val="005C4149"/>
    <w:rsid w:val="005D6D67"/>
    <w:rsid w:val="005E7959"/>
    <w:rsid w:val="00615C97"/>
    <w:rsid w:val="006415BE"/>
    <w:rsid w:val="00680FE0"/>
    <w:rsid w:val="006D6401"/>
    <w:rsid w:val="007024F1"/>
    <w:rsid w:val="0074252A"/>
    <w:rsid w:val="0077637B"/>
    <w:rsid w:val="007773F0"/>
    <w:rsid w:val="007935D3"/>
    <w:rsid w:val="007A1C40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247CA"/>
    <w:rsid w:val="008336D2"/>
    <w:rsid w:val="00836989"/>
    <w:rsid w:val="0085498B"/>
    <w:rsid w:val="00896E3F"/>
    <w:rsid w:val="008B5B53"/>
    <w:rsid w:val="008C1809"/>
    <w:rsid w:val="008E453D"/>
    <w:rsid w:val="008F3976"/>
    <w:rsid w:val="008F75F3"/>
    <w:rsid w:val="009056AC"/>
    <w:rsid w:val="0091006E"/>
    <w:rsid w:val="00923619"/>
    <w:rsid w:val="009317FC"/>
    <w:rsid w:val="009626D2"/>
    <w:rsid w:val="009B088C"/>
    <w:rsid w:val="009D208B"/>
    <w:rsid w:val="00A059B2"/>
    <w:rsid w:val="00A34948"/>
    <w:rsid w:val="00A5670F"/>
    <w:rsid w:val="00A627AE"/>
    <w:rsid w:val="00A71B09"/>
    <w:rsid w:val="00A75BCC"/>
    <w:rsid w:val="00A97BDD"/>
    <w:rsid w:val="00AA1E60"/>
    <w:rsid w:val="00AA25C1"/>
    <w:rsid w:val="00AA36E5"/>
    <w:rsid w:val="00AE6A2D"/>
    <w:rsid w:val="00BB528B"/>
    <w:rsid w:val="00BD4A1A"/>
    <w:rsid w:val="00C03C6D"/>
    <w:rsid w:val="00C65CBE"/>
    <w:rsid w:val="00CB23D4"/>
    <w:rsid w:val="00CC4AB7"/>
    <w:rsid w:val="00CD4EFD"/>
    <w:rsid w:val="00CE28AC"/>
    <w:rsid w:val="00CE3836"/>
    <w:rsid w:val="00CF0F5B"/>
    <w:rsid w:val="00D372E2"/>
    <w:rsid w:val="00D70EAB"/>
    <w:rsid w:val="00D77F5D"/>
    <w:rsid w:val="00DC5199"/>
    <w:rsid w:val="00DD3356"/>
    <w:rsid w:val="00DF3385"/>
    <w:rsid w:val="00DF60EF"/>
    <w:rsid w:val="00E34393"/>
    <w:rsid w:val="00E425FC"/>
    <w:rsid w:val="00E718C3"/>
    <w:rsid w:val="00EB5EB4"/>
    <w:rsid w:val="00ED7EF1"/>
    <w:rsid w:val="00EF6E2F"/>
    <w:rsid w:val="00F02E0F"/>
    <w:rsid w:val="00F174DE"/>
    <w:rsid w:val="00F6271F"/>
    <w:rsid w:val="00F717E2"/>
    <w:rsid w:val="00F83CA2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3</cp:revision>
  <dcterms:created xsi:type="dcterms:W3CDTF">2021-12-30T05:22:00Z</dcterms:created>
  <dcterms:modified xsi:type="dcterms:W3CDTF">2021-12-30T06:27:00Z</dcterms:modified>
</cp:coreProperties>
</file>